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270 digi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65 x 366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Smartphone, Tablette,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4007841067205</w:t>
      </w:r>
      <w:br/>
      <w:r>
        <w:rPr/>
        <w:t xml:space="preserve">• Applications: Extérieur</w:t>
      </w:r>
      <w:br/>
      <w:r>
        <w:rPr/>
        <w:t xml:space="preserve">• Emplacement, pièce: extérieur, entrée</w:t>
      </w:r>
      <w:br/>
      <w:r>
        <w:rPr/>
        <w:t xml:space="preserve">• Coloris: anthracite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7,8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3 zones de détection (dé)activables individuellement, portée réglable séparément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Flux lumineux total du produit: 637 lm</w:t>
      </w:r>
      <w:br/>
      <w:r>
        <w:rPr/>
        <w:t xml:space="preserve">• Flux lumineux mesure (360°): 637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10s-60 min, ARRÊT, Contrôlé par la luminosité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5 – 100 %</w:t>
      </w:r>
      <w:br/>
      <w:r>
        <w:rPr/>
        <w:t xml:space="preserve">• Fonction balisage en pourcentage, de: 5 %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067205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270 digi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2026-03-24T01:13:36+01:00</dcterms:created>
  <dcterms:modified xsi:type="dcterms:W3CDTF">2026-03-24T01:13:36+01:00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